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7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sz w:val="36"/>
          <w:szCs w:val="36"/>
          <w:lang w:eastAsia="ru-RU"/>
        </w:rPr>
        <w:drawing>
          <wp:anchor behindDoc="0" distT="0" distB="0" distL="0" distR="0" simplePos="0" locked="0" layoutInCell="0" allowOverlap="1" relativeHeight="13">
            <wp:simplePos x="0" y="0"/>
            <wp:positionH relativeFrom="column">
              <wp:posOffset>-194310</wp:posOffset>
            </wp:positionH>
            <wp:positionV relativeFrom="paragraph">
              <wp:posOffset>-360045</wp:posOffset>
            </wp:positionV>
            <wp:extent cx="6840220" cy="1025461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0254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Hlk111029861"/>
      <w:bookmarkStart w:id="1" w:name="_Hlk111029861"/>
      <w:bookmarkEnd w:id="1"/>
    </w:p>
    <w:p>
      <w:pPr>
        <w:pStyle w:val="Normal"/>
        <w:spacing w:lineRule="auto" w:line="240"/>
        <w:ind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Пояснительная записка</w:t>
      </w:r>
    </w:p>
    <w:p>
      <w:pPr>
        <w:pStyle w:val="Normal"/>
        <w:spacing w:lineRule="auto" w:line="240" w:before="0"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Программа курса внеурочной деятельности для 1 - 4 классов «Функциональная грамотность» разработана в соответствии с требованиями Федерального государственного образовательного стандарта начального общего образования, требования к основной образовательной программе начального общего образования. 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Программа «Функциональная грамотность» составлена на основе авторского курса программы «Функциональная грамотность» для 1-4 классов (авторы-составители М.В. Буряк, С.А. Шейкина). 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Программа «Функциональная грамотность» учитывает возрастные, общеучебные и психологические особенности младшего школьника. 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Цель программы: создание условий для развития функциональной грамотности. </w:t>
      </w:r>
    </w:p>
    <w:p>
      <w:pPr>
        <w:pStyle w:val="Normal"/>
        <w:spacing w:lineRule="auto" w:line="240" w:before="0"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Программа разбита на шесть блоков: «Читательская грамотность», «Математическая грамотность», «Финансовая грамотность», «Глобальные компетенции», «Креативное мышление» и «Естественно-научная грамотность».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Целью изучения блока «Читательская грамотность» является развитие способности учащихся к осмыслению письменных текстов и рефлексией на них, использования их содержания для достижения собственных целей, развития знаний и возможностей для активного участия в жизни общества. Оценивается не техника чтения и буквальное понимание текста, а понимание и рефлексия на текст, использование прочитанного для осуществления жизненных целей. 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Целью изучения блока «Математическая грамотность» является формирование у обучающихся способности определять и понимать роль математики в мире, в котором они живут, высказывать хорошо обоснованные математические суждения и использовать математику так, чтобы удовлетворять в настоящем и будущем потребности, присущие созидательному, заинтересованному и мыслящему гражданину. 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110940460"/>
      <w:r>
        <w:rPr>
          <w:rFonts w:cs="Times New Roman" w:ascii="Times New Roman" w:hAnsi="Times New Roman"/>
          <w:sz w:val="28"/>
          <w:szCs w:val="28"/>
        </w:rPr>
        <w:t xml:space="preserve">Целью изучения блока </w:t>
      </w:r>
      <w:bookmarkEnd w:id="2"/>
      <w:r>
        <w:rPr>
          <w:rFonts w:cs="Times New Roman" w:ascii="Times New Roman" w:hAnsi="Times New Roman"/>
          <w:sz w:val="28"/>
          <w:szCs w:val="28"/>
        </w:rPr>
        <w:t>«Финансовая грамотность» является развитие экономического образа мышления, воспитание ответственности нравственного поведения в области экономических отношений в семье, формирование опыта применения полученных знаний и умений для решения элементарных вопросов в области экономики семьи.</w:t>
      </w:r>
    </w:p>
    <w:p>
      <w:pPr>
        <w:pStyle w:val="NormalWeb"/>
        <w:shd w:val="clear" w:color="auto" w:fill="FFFFFF"/>
        <w:spacing w:lineRule="auto" w:line="240" w:before="0" w:after="0"/>
        <w:rPr>
          <w:rFonts w:eastAsia="Times New Roman"/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Цель изучения блока «</w:t>
      </w:r>
      <w:r>
        <w:rPr>
          <w:rFonts w:eastAsia="Times New Roman"/>
          <w:color w:val="000000"/>
          <w:sz w:val="28"/>
          <w:szCs w:val="28"/>
          <w:lang w:eastAsia="ru-RU"/>
        </w:rPr>
        <w:t>Глобальная компетентность» изучать местные, глобальные проблемы и вопросы межкультурного взаимодействия, понимать и оценивать различные точки зрения и мировоззрения, успешно и уважительно взаимодействовать с другими, а также действовать ответственно для обеспечения устойчивого развития и коллективного благополучия.</w:t>
      </w:r>
    </w:p>
    <w:p>
      <w:pPr>
        <w:pStyle w:val="Normal"/>
        <w:spacing w:lineRule="auto" w:line="240" w:before="0" w:after="16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Цель изучения блока</w:t>
      </w:r>
      <w:r>
        <w:rPr>
          <w:sz w:val="28"/>
          <w:szCs w:val="28"/>
        </w:rPr>
        <w:t xml:space="preserve"> «</w:t>
      </w:r>
      <w:r>
        <w:rPr>
          <w:rFonts w:eastAsia="Calibri" w:cs="Times New Roman" w:ascii="Times New Roman" w:hAnsi="Times New Roman"/>
          <w:sz w:val="28"/>
          <w:szCs w:val="28"/>
        </w:rPr>
        <w:t>Креативное мышление» - умение человека использовать свое воображение для выработки и совершенствования идей, формирования нового знания, решения задач, с которыми он не сталкивался раньше. Креативное мышление способствует критически осмысливать свои разработки, совершенствовать их.</w:t>
      </w:r>
    </w:p>
    <w:p>
      <w:pPr>
        <w:pStyle w:val="Normal"/>
        <w:spacing w:lineRule="auto" w:line="240" w:before="0" w:after="16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</w:rPr>
        <w:t xml:space="preserve">Целью изучения блока «Естественно-научная грамотность» является формирование у обучающихся способности использовать естественно-научные знания для выделения в реальных ситуациях проблем, которые могут быть исследованы и решены с помощью научных методов, для получения выводов, основанных на наблюдениях и экспериментах. Эти выводы необходимы для понимания окружающего мира, тех изменений, которые вносит в него деятельность человека, и для принятия соответствующих решений. </w:t>
      </w:r>
    </w:p>
    <w:p>
      <w:pPr>
        <w:pStyle w:val="Normal"/>
        <w:spacing w:lineRule="auto" w:line="240" w:before="0"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Программа курса внеурочной деятельности «Функциональная грамотность» рассчитана на 135 часов и предполагает проведение 1 занятия в неделю. Срок реализации     4 года (1-4 класс):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 класс – 33 часа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 класс – 34 часа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 класс – 34 часа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 класс – 34 часа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первом полугодии проводятся занятия по формированию читательской и естественнонаучной грамотности, во 2 полугодии - по формированию математической финансовой грамотности. Если учитель считает необходимым, последовательность проведения занятий можно изменить.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Формы организации занятий: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ind w:left="284" w:right="450" w:hanging="284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Предметные недели;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ind w:left="284" w:right="450" w:hanging="284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Библиотечные уроки;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ind w:left="284" w:right="450" w:hanging="284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Деловые беседы;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ind w:left="284" w:right="450" w:hanging="284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Участие в научно-исследовательских дискуссиях;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  <w:tab w:val="left" w:pos="284" w:leader="none"/>
        </w:tabs>
        <w:spacing w:lineRule="auto" w:line="240" w:before="0" w:after="0"/>
        <w:ind w:left="720" w:right="450" w:hanging="72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Практические упражнения</w:t>
      </w:r>
    </w:p>
    <w:p>
      <w:pPr>
        <w:pStyle w:val="Normal"/>
        <w:shd w:val="clear" w:color="auto" w:fill="FFFFFF"/>
        <w:spacing w:lineRule="auto" w:line="240" w:before="0" w:after="0"/>
        <w:ind w:right="450"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Учебный процесс учащихся с ограниченными возможностями здоровья осуществляется на основе адаптированных общеобразовательных программ начального общего образования при одновременном сохранении коррекционной направленности педагогического процесса, которая реализуется через допустимые изменения в структурировании содержания, специфические методы, приемы работы.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lineRule="auto" w:line="240" w:before="0" w:after="0"/>
        <w:jc w:val="center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>ПЛАНИРУЕМЫЕ РЕЗУЛЬТАТЫ ОСВОЕНИЯ КУРСА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ind w:right="62" w:firstLine="851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Программа обеспечивает достижение следующих личностных, метапредметных результатов.</w:t>
      </w:r>
    </w:p>
    <w:p>
      <w:pPr>
        <w:pStyle w:val="Normal"/>
        <w:spacing w:lineRule="auto" w:line="240" w:before="0" w:after="0"/>
        <w:ind w:right="6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Личностные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результаты изучения курса:</w:t>
      </w:r>
    </w:p>
    <w:p>
      <w:pPr>
        <w:pStyle w:val="Normal"/>
        <w:spacing w:lineRule="auto" w:line="240" w:before="0" w:after="13"/>
        <w:ind w:right="6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осознавать себя как члена семьи, общества и государства: участие в обсуждении финансовых проблем семьи, принятии решений о семейном бюджете;</w:t>
      </w:r>
    </w:p>
    <w:p>
      <w:pPr>
        <w:pStyle w:val="Normal"/>
        <w:spacing w:lineRule="auto" w:line="240" w:before="0" w:after="13"/>
        <w:ind w:right="62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овладевать начальными навыками адаптации в мире финансовых отношений: сопоставление доходов и расходов, простые вычисления в области семейных финансов;</w:t>
      </w:r>
    </w:p>
    <w:p>
      <w:pPr>
        <w:pStyle w:val="Normal"/>
        <w:spacing w:lineRule="auto" w:line="240" w:before="0" w:after="13"/>
        <w:ind w:right="6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 осознавать личную ответственность за свои поступки;</w:t>
      </w:r>
    </w:p>
    <w:p>
      <w:pPr>
        <w:pStyle w:val="Normal"/>
        <w:spacing w:lineRule="auto" w:line="240" w:before="0" w:after="0"/>
        <w:ind w:right="62" w:hanging="0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behindDoc="0" distT="0" distB="0" distL="114300" distR="114300" simplePos="0" locked="0" layoutInCell="0" allowOverlap="1" relativeHeight="4">
            <wp:simplePos x="0" y="0"/>
            <wp:positionH relativeFrom="column">
              <wp:posOffset>6700520</wp:posOffset>
            </wp:positionH>
            <wp:positionV relativeFrom="paragraph">
              <wp:posOffset>1034415</wp:posOffset>
            </wp:positionV>
            <wp:extent cx="62865" cy="13970"/>
            <wp:effectExtent l="0" t="0" r="0" b="0"/>
            <wp:wrapSquare wrapText="bothSides"/>
            <wp:docPr id="2" name="Picture 51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14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" cy="1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sz w:val="28"/>
          <w:szCs w:val="28"/>
        </w:rPr>
        <w:t>- уметь сотрудничать со взрослыми и сверстниками в различных ситуациях.</w:t>
      </w:r>
    </w:p>
    <w:p>
      <w:pPr>
        <w:pStyle w:val="Normal"/>
        <w:spacing w:lineRule="auto" w:line="240" w:before="0" w:after="2"/>
        <w:rPr>
          <w:rFonts w:ascii="Times New Roman" w:hAnsi="Times New Roman" w:eastAsia="Times New Roman" w:cs="Times New Roman"/>
          <w:sz w:val="28"/>
          <w:szCs w:val="28"/>
          <w:u w:val="single" w:color="000000"/>
        </w:rPr>
      </w:pPr>
      <w:r>
        <w:rPr>
          <w:rFonts w:eastAsia="Times New Roman" w:cs="Times New Roman" w:ascii="Times New Roman" w:hAnsi="Times New Roman"/>
          <w:sz w:val="28"/>
          <w:szCs w:val="28"/>
          <w:u w:val="single" w:color="000000"/>
        </w:rPr>
      </w:r>
    </w:p>
    <w:p>
      <w:pPr>
        <w:pStyle w:val="Normal"/>
        <w:spacing w:lineRule="auto" w:line="240" w:before="0" w:after="2"/>
        <w:ind w:firstLine="708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 xml:space="preserve">Метапредметные </w:t>
      </w:r>
      <w:r>
        <w:rPr>
          <w:rFonts w:eastAsia="Times New Roman" w:cs="Times New Roman" w:ascii="Times New Roman" w:hAnsi="Times New Roman"/>
          <w:sz w:val="28"/>
          <w:szCs w:val="28"/>
        </w:rPr>
        <w:t>результаты изучения курса:</w:t>
      </w:r>
    </w:p>
    <w:p>
      <w:pPr>
        <w:pStyle w:val="Normal"/>
        <w:spacing w:lineRule="auto" w:line="240" w:before="0" w:after="2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u w:val="single" w:color="000000"/>
        </w:rPr>
        <w:t>Познавательные:</w:t>
      </w:r>
    </w:p>
    <w:p>
      <w:pPr>
        <w:pStyle w:val="Normal"/>
        <w:spacing w:lineRule="auto" w:line="240" w:before="0" w:after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sz w:val="28"/>
          <w:szCs w:val="28"/>
        </w:rPr>
        <w:t>осваивать способы решения проблем творческого и поискового характера: работа над проектами и исследованиями;</w:t>
      </w:r>
    </w:p>
    <w:p>
      <w:pPr>
        <w:pStyle w:val="Normal"/>
        <w:spacing w:lineRule="auto" w:line="240" w:before="0" w:after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- использовать различные способы поиска, сбора, обработки, анализа и представления информации; </w:t>
      </w:r>
    </w:p>
    <w:p>
      <w:pPr>
        <w:pStyle w:val="Normal"/>
        <w:spacing w:lineRule="auto" w:line="240" w:before="0" w:after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-овладевать логическими действиями сравнения, обобщения, </w:t>
      </w:r>
      <w:r>
        <w:drawing>
          <wp:anchor behindDoc="0" distT="0" distB="0" distL="114300" distR="114300" simplePos="0" locked="0" layoutInCell="0" allowOverlap="1" relativeHeight="5">
            <wp:simplePos x="0" y="0"/>
            <wp:positionH relativeFrom="column">
              <wp:posOffset>912495</wp:posOffset>
            </wp:positionH>
            <wp:positionV relativeFrom="paragraph">
              <wp:posOffset>10160</wp:posOffset>
            </wp:positionV>
            <wp:extent cx="6985" cy="6985"/>
            <wp:effectExtent l="0" t="0" r="0" b="0"/>
            <wp:wrapSquare wrapText="bothSides"/>
            <wp:docPr id="3" name="Picture 115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15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6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классификации, установления аналогий и </w:t>
      </w:r>
      <w:r>
        <w:rPr>
          <w:rFonts w:cs="Times New Roman" w:ascii="Times New Roman" w:hAnsi="Times New Roman"/>
          <w:sz w:val="28"/>
          <w:szCs w:val="28"/>
        </w:rPr>
        <w:t xml:space="preserve">причинно-следственных </w:t>
      </w:r>
      <w:r>
        <w:rPr>
          <w:rFonts w:eastAsia="Times New Roman" w:cs="Times New Roman" w:ascii="Times New Roman" w:hAnsi="Times New Roman"/>
          <w:sz w:val="28"/>
          <w:szCs w:val="28"/>
        </w:rPr>
        <w:t>связей, построений рассуждений, отнесения к известным понятиям;</w:t>
      </w:r>
    </w:p>
    <w:p>
      <w:pPr>
        <w:pStyle w:val="Normal"/>
        <w:spacing w:lineRule="auto" w:line="240" w:before="0" w:after="0"/>
        <w:ind w:right="12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использовать знаково-символические средства, в том числе моделирование;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ориентироваться в своей системе знаний: отличать новое от уже известного;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делать предварительный отбор источников информации: ориентироваться в потоке информации;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добывать новые знания: находить ответы на вопросы, используя учебные пособия, свой жизненный опыт и информацию, полученную от окружающих;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перерабатывать полученную информацию: сравнивать и группировать объекты;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преобразовывать информацию из одной формы в другую.</w:t>
      </w:r>
    </w:p>
    <w:p>
      <w:pPr>
        <w:pStyle w:val="Normal"/>
        <w:spacing w:lineRule="auto" w:line="240" w:before="0" w:after="0"/>
        <w:ind w:left="38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 w:color="000000"/>
        </w:rPr>
        <w:t>Регулятивные: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проявлять познавательную и творческую инициативу;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принимать и сохранять учебную цель и задачу, планировать ее реализацию;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контролировать и оценивать свои действия, вносить соответствующие коррективы в их выполнение;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уметь отличать правильно выполненное задание от неверного;</w:t>
      </w:r>
      <w:r>
        <w:rPr/>
        <w:drawing>
          <wp:inline distT="0" distB="0" distL="0" distR="0">
            <wp:extent cx="74295" cy="74295"/>
            <wp:effectExtent l="0" t="0" r="0" b="0"/>
            <wp:docPr id="4" name="Picture 51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175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8"/>
          <w:szCs w:val="28"/>
        </w:rPr>
        <w:t>- оценивать правильность выполнения действий: самооценка и взаимооценка, знакомство с критериями оценивания.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 w:color="000000"/>
        </w:rPr>
        <w:t>Коммуникативные: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адекватно передавать информацию, выражать свои мысли в соответствии с поставленными задачами и отображать предметное содержание и условия деятельности в речи;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слушать и понимать речь других;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совместно договариваться о правилах работы в группе;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доносить свою позицию до других: оформлять свою мысль в устной и письменной речи (на уровне одного предложения или небольшого текста); </w:t>
      </w:r>
      <w:r>
        <w:rPr/>
        <w:drawing>
          <wp:inline distT="0" distB="0" distL="0" distR="0">
            <wp:extent cx="27305" cy="12065"/>
            <wp:effectExtent l="0" t="0" r="0" b="0"/>
            <wp:docPr id="5" name="Picture 139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397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" cy="1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учиться выполнять различные роли в группе (лидера, исполнителя, критика).</w:t>
      </w:r>
    </w:p>
    <w:p>
      <w:pPr>
        <w:pStyle w:val="Normal"/>
        <w:spacing w:lineRule="auto" w:line="240" w:before="240" w:after="0"/>
        <w:ind w:right="12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b/>
          <w:i/>
          <w:iCs/>
          <w:sz w:val="28"/>
          <w:szCs w:val="28"/>
        </w:rPr>
        <w:t>Предметные результаты</w:t>
      </w:r>
      <w:r>
        <w:rPr>
          <w:rFonts w:cs="Times New Roman" w:ascii="Times New Roman" w:hAnsi="Times New Roman"/>
          <w:sz w:val="28"/>
          <w:szCs w:val="28"/>
        </w:rPr>
        <w:t xml:space="preserve"> изучения блока </w:t>
      </w:r>
      <w:r>
        <w:rPr>
          <w:rFonts w:cs="Times New Roman" w:ascii="Times New Roman" w:hAnsi="Times New Roman"/>
          <w:b/>
          <w:i/>
          <w:iCs/>
          <w:sz w:val="28"/>
          <w:szCs w:val="28"/>
        </w:rPr>
        <w:t>«Читательская грамотность»</w:t>
      </w:r>
      <w:r>
        <w:rPr>
          <w:rFonts w:cs="Times New Roman" w:ascii="Times New Roman" w:hAnsi="Times New Roman"/>
          <w:i/>
          <w:iCs/>
          <w:sz w:val="28"/>
          <w:szCs w:val="28"/>
        </w:rPr>
        <w:t>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способность понимать, использовать, оценивать тексты размышлять о них и заниматься чтением для того, чтобы достигать своих целей, расширять свои знания и возможности, участвовать в социальной жизни;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умение находить необходимую информацию в прочитанных текстах;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 умение задавать вопросы по содержанию прочитанных текстов;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-умение составлять речевое высказывание в устной и письменной форме в соответствии с поставленной учебной задачей.</w:t>
      </w:r>
      <w:r>
        <w:drawing>
          <wp:anchor behindDoc="0" distT="0" distB="0" distL="114300" distR="114300" simplePos="0" locked="0" layoutInCell="0" allowOverlap="1" relativeHeight="6">
            <wp:simplePos x="0" y="0"/>
            <wp:positionH relativeFrom="column">
              <wp:posOffset>724535</wp:posOffset>
            </wp:positionH>
            <wp:positionV relativeFrom="paragraph">
              <wp:posOffset>18415</wp:posOffset>
            </wp:positionV>
            <wp:extent cx="3810" cy="7620"/>
            <wp:effectExtent l="0" t="0" r="0" b="0"/>
            <wp:wrapSquare wrapText="bothSides"/>
            <wp:docPr id="6" name="Picture 108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08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</w:rPr>
        <w:t>Предметные результаты</w:t>
      </w:r>
      <w:r>
        <w:rPr>
          <w:rFonts w:cs="Times New Roman" w:ascii="Times New Roman" w:hAnsi="Times New Roman"/>
          <w:sz w:val="28"/>
          <w:szCs w:val="28"/>
        </w:rPr>
        <w:t xml:space="preserve"> изучения блока </w:t>
      </w:r>
      <w:r>
        <w:rPr>
          <w:rFonts w:cs="Times New Roman" w:ascii="Times New Roman" w:hAnsi="Times New Roman"/>
          <w:b/>
          <w:i/>
          <w:iCs/>
          <w:sz w:val="28"/>
          <w:szCs w:val="28"/>
        </w:rPr>
        <w:t>«Естественно-научная грамотность»</w:t>
      </w:r>
      <w:r>
        <w:rPr>
          <w:rFonts w:cs="Times New Roman" w:ascii="Times New Roman" w:hAnsi="Times New Roman"/>
          <w:i/>
          <w:iCs/>
          <w:sz w:val="28"/>
          <w:szCs w:val="28"/>
        </w:rPr>
        <w:t>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способность осваивать и использовать естественно-научные знания для распознания и постановки вопросов, для освоения новых знаний, для объяснения естественно-научных явлений и формулирования основанных на научных доказательствах выводов;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способность понимать основные; особенности естествознания как формы человеческого познания.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drawing>
          <wp:anchor behindDoc="0" distT="0" distB="0" distL="114300" distR="114300" simplePos="0" locked="0" layoutInCell="0" allowOverlap="1" relativeHeight="7">
            <wp:simplePos x="0" y="0"/>
            <wp:positionH relativeFrom="page">
              <wp:posOffset>7524115</wp:posOffset>
            </wp:positionH>
            <wp:positionV relativeFrom="page">
              <wp:posOffset>9697085</wp:posOffset>
            </wp:positionV>
            <wp:extent cx="7620" cy="59055"/>
            <wp:effectExtent l="0" t="0" r="0" b="0"/>
            <wp:wrapSquare wrapText="bothSides"/>
            <wp:docPr id="7" name="Picture 32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26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9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8">
            <wp:simplePos x="0" y="0"/>
            <wp:positionH relativeFrom="page">
              <wp:posOffset>631825</wp:posOffset>
            </wp:positionH>
            <wp:positionV relativeFrom="page">
              <wp:posOffset>9885045</wp:posOffset>
            </wp:positionV>
            <wp:extent cx="3810" cy="3810"/>
            <wp:effectExtent l="0" t="0" r="0" b="0"/>
            <wp:wrapSquare wrapText="bothSides"/>
            <wp:docPr id="8" name="Picture 12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22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" cy="3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9">
            <wp:simplePos x="0" y="0"/>
            <wp:positionH relativeFrom="page">
              <wp:posOffset>639445</wp:posOffset>
            </wp:positionH>
            <wp:positionV relativeFrom="page">
              <wp:posOffset>9885045</wp:posOffset>
            </wp:positionV>
            <wp:extent cx="7620" cy="11430"/>
            <wp:effectExtent l="0" t="0" r="0" b="0"/>
            <wp:wrapSquare wrapText="bothSides"/>
            <wp:docPr id="9" name="Picture 12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225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11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10">
            <wp:simplePos x="0" y="0"/>
            <wp:positionH relativeFrom="page">
              <wp:posOffset>631825</wp:posOffset>
            </wp:positionH>
            <wp:positionV relativeFrom="page">
              <wp:posOffset>9892665</wp:posOffset>
            </wp:positionV>
            <wp:extent cx="3810" cy="3810"/>
            <wp:effectExtent l="0" t="0" r="0" b="0"/>
            <wp:wrapSquare wrapText="bothSides"/>
            <wp:docPr id="10" name="Picture 12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26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" cy="3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11">
            <wp:simplePos x="0" y="0"/>
            <wp:positionH relativeFrom="page">
              <wp:posOffset>624840</wp:posOffset>
            </wp:positionH>
            <wp:positionV relativeFrom="page">
              <wp:posOffset>9925685</wp:posOffset>
            </wp:positionV>
            <wp:extent cx="7620" cy="11430"/>
            <wp:effectExtent l="0" t="0" r="0" b="0"/>
            <wp:wrapSquare wrapText="bothSides"/>
            <wp:docPr id="11" name="Picture 12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234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11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sz w:val="28"/>
          <w:szCs w:val="28"/>
        </w:rPr>
        <w:t xml:space="preserve">               </w:t>
      </w:r>
      <w:r>
        <w:rPr>
          <w:rFonts w:cs="Times New Roman" w:ascii="Times New Roman" w:hAnsi="Times New Roman"/>
          <w:b/>
          <w:i/>
          <w:iCs/>
          <w:sz w:val="28"/>
          <w:szCs w:val="28"/>
        </w:rPr>
        <w:t>Предметные результаты</w:t>
      </w:r>
      <w:r>
        <w:rPr>
          <w:rFonts w:cs="Times New Roman" w:ascii="Times New Roman" w:hAnsi="Times New Roman"/>
          <w:sz w:val="28"/>
          <w:szCs w:val="28"/>
        </w:rPr>
        <w:t xml:space="preserve"> изучения блока </w:t>
      </w:r>
      <w:r>
        <w:rPr>
          <w:rFonts w:cs="Times New Roman" w:ascii="Times New Roman" w:hAnsi="Times New Roman"/>
          <w:b/>
          <w:i/>
          <w:iCs/>
          <w:sz w:val="28"/>
          <w:szCs w:val="28"/>
        </w:rPr>
        <w:t>«Математическая грамотность»: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способность формулировать, применять и интерпретировать математику в разнообразных контекстах;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способность проводить математические рассуждения;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способность использовать математические понятия, факты, чтобы описать, объяснить и предсказывать явления;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способность понимать роль математики в мире, высказывать обоснованные суждения и принимать решения, которые необходимы конструктивному, активному и размышляющему человеку.</w:t>
      </w:r>
    </w:p>
    <w:p>
      <w:pPr>
        <w:pStyle w:val="Normal"/>
        <w:spacing w:lineRule="auto" w:line="240" w:before="0" w:after="0"/>
        <w:ind w:firstLine="19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b/>
          <w:i/>
          <w:iCs/>
          <w:sz w:val="28"/>
          <w:szCs w:val="28"/>
        </w:rPr>
        <w:t>Предметные результаты</w:t>
      </w:r>
      <w:r>
        <w:rPr>
          <w:rFonts w:cs="Times New Roman" w:ascii="Times New Roman" w:hAnsi="Times New Roman"/>
          <w:sz w:val="28"/>
          <w:szCs w:val="28"/>
        </w:rPr>
        <w:t xml:space="preserve"> изучения блока </w:t>
      </w:r>
      <w:r>
        <w:rPr>
          <w:rFonts w:cs="Times New Roman" w:ascii="Times New Roman" w:hAnsi="Times New Roman"/>
          <w:b/>
          <w:i/>
          <w:iCs/>
          <w:sz w:val="28"/>
          <w:szCs w:val="28"/>
        </w:rPr>
        <w:t>«Финансовая грамотность»:</w:t>
      </w:r>
      <w:bookmarkStart w:id="3" w:name="_Hlk110941279"/>
      <w:bookmarkEnd w:id="3"/>
    </w:p>
    <w:p>
      <w:pPr>
        <w:pStyle w:val="Normal"/>
        <w:spacing w:lineRule="auto" w:line="240" w:before="0" w:after="0"/>
        <w:ind w:left="2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понимание и правильное использование финансовых терминов;</w:t>
      </w:r>
    </w:p>
    <w:p>
      <w:pPr>
        <w:pStyle w:val="Normal"/>
        <w:spacing w:lineRule="auto" w:line="240" w:before="0" w:after="0"/>
        <w:ind w:left="2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представление о семейных расходах и доходах; </w:t>
      </w:r>
    </w:p>
    <w:p>
      <w:pPr>
        <w:pStyle w:val="Normal"/>
        <w:spacing w:lineRule="auto" w:line="240" w:before="0" w:after="0"/>
        <w:ind w:left="29" w:hanging="0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behindDoc="0" distT="0" distB="0" distL="114300" distR="114300" simplePos="0" locked="0" layoutInCell="0" allowOverlap="1" relativeHeight="12">
            <wp:simplePos x="0" y="0"/>
            <wp:positionH relativeFrom="column">
              <wp:posOffset>6614795</wp:posOffset>
            </wp:positionH>
            <wp:positionV relativeFrom="paragraph">
              <wp:posOffset>171450</wp:posOffset>
            </wp:positionV>
            <wp:extent cx="70485" cy="70485"/>
            <wp:effectExtent l="0" t="0" r="0" b="0"/>
            <wp:wrapSquare wrapText="bothSides"/>
            <wp:docPr id="12" name="Picture 327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3278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" cy="70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t xml:space="preserve">- умение проводить простейшие расчеты семейного бюджета; </w:t>
      </w:r>
    </w:p>
    <w:p>
      <w:pPr>
        <w:pStyle w:val="Normal"/>
        <w:spacing w:lineRule="auto" w:line="240" w:before="0" w:after="0"/>
        <w:ind w:left="2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представление о различных видах семейных доходов;</w:t>
      </w:r>
    </w:p>
    <w:p>
      <w:pPr>
        <w:pStyle w:val="Normal"/>
        <w:spacing w:lineRule="auto" w:line="240" w:before="0" w:after="0"/>
        <w:ind w:left="2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представление о различных видах семейных расходов; </w:t>
      </w:r>
    </w:p>
    <w:p>
      <w:pPr>
        <w:pStyle w:val="Normal"/>
        <w:spacing w:lineRule="auto" w:line="240" w:before="0" w:after="0"/>
        <w:ind w:left="2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представление о способах экономии семейного бюджета.</w:t>
      </w:r>
    </w:p>
    <w:p>
      <w:pPr>
        <w:pStyle w:val="Normal"/>
        <w:spacing w:lineRule="auto" w:line="240" w:before="0" w:after="0"/>
        <w:ind w:firstLine="19"/>
        <w:jc w:val="both"/>
        <w:rPr>
          <w:rFonts w:eastAsia="Times New Roman"/>
          <w:i/>
          <w:i/>
          <w:iCs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b/>
          <w:i/>
          <w:iCs/>
          <w:sz w:val="28"/>
          <w:szCs w:val="28"/>
        </w:rPr>
        <w:t>Предметные результаты</w:t>
      </w:r>
      <w:r>
        <w:rPr>
          <w:rFonts w:cs="Times New Roman" w:ascii="Times New Roman" w:hAnsi="Times New Roman"/>
          <w:sz w:val="28"/>
          <w:szCs w:val="28"/>
        </w:rPr>
        <w:t xml:space="preserve"> изучения блока </w:t>
      </w:r>
      <w:r>
        <w:rPr>
          <w:b/>
          <w:bCs/>
          <w:i/>
          <w:iCs/>
          <w:sz w:val="28"/>
          <w:szCs w:val="28"/>
        </w:rPr>
        <w:t>«</w:t>
      </w:r>
      <w:r>
        <w:rPr>
          <w:rFonts w:eastAsia="Times New Roman" w:cs="Times New Roman" w:ascii="Times New Roman" w:hAnsi="Times New Roman"/>
          <w:b/>
          <w:bCs/>
          <w:i/>
          <w:iCs/>
          <w:sz w:val="28"/>
          <w:szCs w:val="28"/>
          <w:lang w:eastAsia="ru-RU"/>
        </w:rPr>
        <w:t>Глобальная компетентность</w:t>
      </w:r>
      <w:r>
        <w:rPr>
          <w:rFonts w:eastAsia="Times New Roman"/>
          <w:b/>
          <w:bCs/>
          <w:i/>
          <w:iCs/>
          <w:sz w:val="28"/>
          <w:szCs w:val="28"/>
          <w:lang w:eastAsia="ru-RU"/>
        </w:rPr>
        <w:t>»</w:t>
      </w:r>
      <w:r>
        <w:rPr>
          <w:rFonts w:eastAsia="Times New Roman"/>
          <w:i/>
          <w:iCs/>
          <w:color w:val="000000"/>
          <w:sz w:val="28"/>
          <w:szCs w:val="28"/>
          <w:lang w:eastAsia="ru-RU"/>
        </w:rPr>
        <w:t>: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 способность рассматривать вопросы и ситуации местного, глобального и межкультурного значения (например, бедность, экономическая взаимозависимость, миграция, неравенство, экологические риски, конфликты, культурные различия и стереотипы);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 овладение навыками и взглядами, необходимыми для жизни во взаимосвязанном мире; - способность использовать знания о мире и критически мыслить при рассуждении о глобальных событиях;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 способность задавать вопросы, анализировать информацию, объяснять явления и вырабатывать собственную позицию;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 способность находить, анализировать и критически оценивать сообщения СМИ;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 способность понимать и ценить различные точки зрения и мировоззрения;</w:t>
      </w:r>
    </w:p>
    <w:p>
      <w:pPr>
        <w:pStyle w:val="Normal"/>
        <w:shd w:val="clear" w:color="auto" w:fill="FFFFFF"/>
        <w:spacing w:lineRule="auto" w:line="240" w:before="0" w:after="15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 способность наладить позитивное взаимодействие с людьми разного национального, этнического, религиозного, социального или культурного происхождения или пола.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</w:rPr>
        <w:t>Предметные результаты</w:t>
      </w:r>
      <w:r>
        <w:rPr>
          <w:rFonts w:cs="Times New Roman" w:ascii="Times New Roman" w:hAnsi="Times New Roman"/>
          <w:sz w:val="28"/>
          <w:szCs w:val="28"/>
        </w:rPr>
        <w:t xml:space="preserve"> изучения блока 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«Креативное мышление»: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- умение генерировать новые идеи на основе существующей информации, например, текста или изображения;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sz w:val="28"/>
          <w:szCs w:val="28"/>
        </w:rPr>
        <w:t>- практика в творчестве, создавая, например, продолжение или альтернативное окончание любимой сказки;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</w:rPr>
        <w:t>- стимулирование развития воображения и фантазии, творческую активность детей.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/>
      </w:r>
    </w:p>
    <w:p>
      <w:pPr>
        <w:pStyle w:val="Normal"/>
        <w:spacing w:before="0" w:after="0"/>
        <w:ind w:right="527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Содержание программы 2 класс (34 ч)</w:t>
      </w:r>
    </w:p>
    <w:tbl>
      <w:tblPr>
        <w:tblStyle w:val="ab"/>
        <w:tblW w:w="9714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6"/>
        <w:gridCol w:w="2836"/>
        <w:gridCol w:w="1134"/>
        <w:gridCol w:w="3106"/>
        <w:gridCol w:w="1822"/>
      </w:tblGrid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п/п</w:t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527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Раздел 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175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Кол-во часов</w:t>
            </w:r>
          </w:p>
        </w:tc>
        <w:tc>
          <w:tcPr>
            <w:tcW w:w="310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527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Содержание</w:t>
            </w:r>
          </w:p>
        </w:tc>
        <w:tc>
          <w:tcPr>
            <w:tcW w:w="1822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Формы внеурочной деятельности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Читательская грамотность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1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Михаил Пришвин. Беличья память.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И. Соколов-Микитов. В берлоге.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Лев Толстой. Зайцы.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Николай Сладков. Веселая игра.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Обыкновенные кроты.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Эдуард Шим. Тяжкий труд.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Полевой хомяк.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Про бобров.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Позвоночные животные. 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822" w:type="dxa"/>
            <w:tcBorders/>
          </w:tcPr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Библиотечные уроки;</w:t>
            </w:r>
          </w:p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Деловые беседы;</w:t>
            </w:r>
          </w:p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Участие в научно-исследовательских дискуссиях;</w:t>
            </w:r>
          </w:p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Практические упражнения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Итого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8,5</w:t>
            </w:r>
          </w:p>
        </w:tc>
        <w:tc>
          <w:tcPr>
            <w:tcW w:w="31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822" w:type="dxa"/>
            <w:tcBorders/>
          </w:tcPr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</w:t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Математическая грамотность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310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 беличьи запасы.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Медвежье, потомство.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 зайчат и зайчиху.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Лисьи забавы.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 крота.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 ежа.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 полевого хомяка.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Бобры строители.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Встреча друзей.</w:t>
            </w:r>
          </w:p>
        </w:tc>
        <w:tc>
          <w:tcPr>
            <w:tcW w:w="1822" w:type="dxa"/>
            <w:tcBorders/>
          </w:tcPr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Библиотечные уроки;</w:t>
            </w:r>
          </w:p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Деловые беседы;</w:t>
            </w:r>
          </w:p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Участие в научно-исследовательских дискуссиях;</w:t>
            </w:r>
          </w:p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Практические упражнения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Итого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8,5</w:t>
            </w:r>
          </w:p>
        </w:tc>
        <w:tc>
          <w:tcPr>
            <w:tcW w:w="310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822" w:type="dxa"/>
            <w:tcBorders/>
          </w:tcPr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</w:t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Финансовая грамотность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310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Беличьи деньги.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Поврежденные и фальшивые деньги. 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Банковская карта.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Безопасность денег на банковской карте.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 кредиты.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 вклады.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Ловушки для денег.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Такие разные деньги.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Встреча друзей.</w:t>
            </w:r>
          </w:p>
        </w:tc>
        <w:tc>
          <w:tcPr>
            <w:tcW w:w="1822" w:type="dxa"/>
            <w:tcBorders/>
          </w:tcPr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Библиотечные уроки;</w:t>
            </w:r>
          </w:p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Деловые беседы;</w:t>
            </w:r>
          </w:p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Участие в научно-исследовательских дискуссиях;</w:t>
            </w:r>
          </w:p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Практические упражнения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Итого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8,5</w:t>
            </w:r>
          </w:p>
        </w:tc>
        <w:tc>
          <w:tcPr>
            <w:tcW w:w="310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822" w:type="dxa"/>
            <w:tcBorders/>
          </w:tcPr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4.</w:t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Естественно-научная грамотность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310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 белочку и погоду.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Лесные сладкоежки.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 зайчишку и овощи.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Лисьи норы.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Корень часть растения.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Занимательные особенности яблока.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 хомяка и его запасы.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Материал для плотин.</w:t>
            </w:r>
          </w:p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Позвоночные животные.</w:t>
            </w:r>
          </w:p>
        </w:tc>
        <w:tc>
          <w:tcPr>
            <w:tcW w:w="1822" w:type="dxa"/>
            <w:tcBorders/>
          </w:tcPr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Библиотечные уроки;</w:t>
            </w:r>
          </w:p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Деловые беседы;</w:t>
            </w:r>
          </w:p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Участие в научно-исследовательских дискуссиях;</w:t>
            </w:r>
          </w:p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Практические упражнения</w:t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Итого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8,5</w:t>
            </w:r>
          </w:p>
        </w:tc>
        <w:tc>
          <w:tcPr>
            <w:tcW w:w="310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822" w:type="dxa"/>
            <w:tcBorders/>
          </w:tcPr>
          <w:p>
            <w:pPr>
              <w:pStyle w:val="Normal"/>
              <w:widowControl/>
              <w:shd w:val="clear" w:color="auto" w:fill="FFFFFF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righ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Итого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34</w:t>
            </w:r>
          </w:p>
        </w:tc>
        <w:tc>
          <w:tcPr>
            <w:tcW w:w="310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8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tabs>
          <w:tab w:val="clear" w:pos="708"/>
          <w:tab w:val="left" w:pos="6240" w:leader="none"/>
        </w:tabs>
        <w:spacing w:before="0" w:after="0"/>
        <w:ind w:left="6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6240" w:leader="none"/>
        </w:tabs>
        <w:spacing w:before="0" w:after="0"/>
        <w:ind w:left="6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ind w:right="527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Календарно-тематическое планирование (2 класс)</w:t>
      </w:r>
    </w:p>
    <w:tbl>
      <w:tblPr>
        <w:tblStyle w:val="ab"/>
        <w:tblW w:w="9482" w:type="dxa"/>
        <w:jc w:val="left"/>
        <w:tblInd w:w="11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70"/>
        <w:gridCol w:w="3065"/>
        <w:gridCol w:w="1093"/>
        <w:gridCol w:w="1118"/>
        <w:gridCol w:w="1243"/>
        <w:gridCol w:w="1132"/>
        <w:gridCol w:w="1060"/>
      </w:tblGrid>
      <w:tr>
        <w:trPr/>
        <w:tc>
          <w:tcPr>
            <w:tcW w:w="770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п/п</w:t>
            </w:r>
          </w:p>
        </w:tc>
        <w:tc>
          <w:tcPr>
            <w:tcW w:w="3065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 занятия</w:t>
            </w:r>
          </w:p>
        </w:tc>
        <w:tc>
          <w:tcPr>
            <w:tcW w:w="1093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Всего часов</w:t>
            </w:r>
          </w:p>
        </w:tc>
        <w:tc>
          <w:tcPr>
            <w:tcW w:w="2361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том числе</w:t>
            </w:r>
          </w:p>
        </w:tc>
        <w:tc>
          <w:tcPr>
            <w:tcW w:w="219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Дата проведения</w:t>
            </w:r>
          </w:p>
        </w:tc>
      </w:tr>
      <w:tr>
        <w:trPr/>
        <w:tc>
          <w:tcPr>
            <w:tcW w:w="77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93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Теория 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Практика 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Планир.</w:t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Факт.</w:t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Михаил Пришвин. Беличья память.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Про беличьи запасы.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Беличьи деньги.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Про белочку и погоду.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И. Соколов-Микитов. В берлоге.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Медвежье потомство.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Поврежденные и фальшивые деньги.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Лесные сладкоежки.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Лев Толстой. Зайцы.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Про зайчат и зайчиху.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Банковская карта.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Про зайчишку и овощи.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Николай Сладков. Веселая игра.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Лисьи забавы.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Безопасность денег на банковской карте.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Лисьи норы.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Обыкновенные кроты.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 крота.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Про кредиты.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Корень часть растения.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Эдуард Шим. Тяжкий труд.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Про ежа.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Про вклады.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Занимательные особенности яблока.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Полевой хомяк.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Про полевого хомяка.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Ловушки для денег.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Про хомяка и его запасы.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Про бобров.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Бобры строители.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Такие разные деньги.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Материал для плотин.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Позвоночные животные. 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2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Встреча друзей.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0,5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65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22" w:hanging="0"/>
              <w:jc w:val="righ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Итого:</w:t>
            </w:r>
          </w:p>
        </w:tc>
        <w:tc>
          <w:tcPr>
            <w:tcW w:w="10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34</w:t>
            </w:r>
          </w:p>
        </w:tc>
        <w:tc>
          <w:tcPr>
            <w:tcW w:w="1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17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17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tabs>
          <w:tab w:val="clear" w:pos="708"/>
          <w:tab w:val="left" w:pos="6240" w:leader="none"/>
        </w:tabs>
        <w:spacing w:before="0" w:after="0"/>
        <w:ind w:left="6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tabs>
          <w:tab w:val="clear" w:pos="708"/>
          <w:tab w:val="left" w:pos="6240" w:leader="none"/>
        </w:tabs>
        <w:spacing w:before="0" w:after="0"/>
        <w:ind w:left="6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6240" w:leader="none"/>
        </w:tabs>
        <w:spacing w:before="0" w:after="0"/>
        <w:ind w:left="6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ind w:right="527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sectPr>
      <w:footerReference w:type="default" r:id="rId14"/>
      <w:type w:val="nextPage"/>
      <w:pgSz w:w="11906" w:h="16838"/>
      <w:pgMar w:left="567" w:right="567" w:gutter="0" w:header="0" w:top="567" w:footer="709" w:bottom="766"/>
      <w:pgNumType w:fmt="decimal"/>
      <w:formProt w:val="false"/>
      <w:titlePg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607713202"/>
    </w:sdtPr>
    <w:sdtContent>
      <w:p>
        <w:pPr>
          <w:pStyle w:val="Style23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Style23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8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e3da7"/>
    <w:pPr>
      <w:widowControl/>
      <w:suppressAutoHyphens w:val="fals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 w:customStyle="1">
    <w:name w:val="Heading 1"/>
    <w:basedOn w:val="Normal"/>
    <w:next w:val="Normal"/>
    <w:link w:val="1"/>
    <w:uiPriority w:val="9"/>
    <w:qFormat/>
    <w:rsid w:val="00c0152f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 w:customStyle="1">
    <w:name w:val="Heading 2"/>
    <w:basedOn w:val="Normal"/>
    <w:next w:val="Normal"/>
    <w:link w:val="2"/>
    <w:uiPriority w:val="9"/>
    <w:unhideWhenUsed/>
    <w:qFormat/>
    <w:rsid w:val="00462da2"/>
    <w:pPr>
      <w:keepNext w:val="true"/>
      <w:keepLines/>
      <w:spacing w:lineRule="auto" w:line="259"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Heading2"/>
    <w:uiPriority w:val="9"/>
    <w:qFormat/>
    <w:rsid w:val="00462da2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  <w:lang w:eastAsia="ru-RU"/>
    </w:rPr>
  </w:style>
  <w:style w:type="character" w:styleId="Style12" w:customStyle="1">
    <w:name w:val="Верхний колонтитул Знак"/>
    <w:basedOn w:val="DefaultParagraphFont"/>
    <w:uiPriority w:val="99"/>
    <w:qFormat/>
    <w:rsid w:val="00462da2"/>
    <w:rPr/>
  </w:style>
  <w:style w:type="character" w:styleId="Style13" w:customStyle="1">
    <w:name w:val="Нижний колонтитул Знак"/>
    <w:basedOn w:val="DefaultParagraphFont"/>
    <w:uiPriority w:val="99"/>
    <w:qFormat/>
    <w:rsid w:val="00462da2"/>
    <w:rPr/>
  </w:style>
  <w:style w:type="character" w:styleId="Style14">
    <w:name w:val="Выделение"/>
    <w:basedOn w:val="DefaultParagraphFont"/>
    <w:uiPriority w:val="20"/>
    <w:qFormat/>
    <w:rsid w:val="005c5ecf"/>
    <w:rPr>
      <w:i/>
      <w:iCs/>
    </w:rPr>
  </w:style>
  <w:style w:type="character" w:styleId="11" w:customStyle="1">
    <w:name w:val="Заголовок 1 Знак"/>
    <w:basedOn w:val="DefaultParagraphFont"/>
    <w:link w:val="Heading1"/>
    <w:uiPriority w:val="9"/>
    <w:qFormat/>
    <w:rsid w:val="00c0152f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c0152f"/>
    <w:rPr>
      <w:rFonts w:ascii="Tahoma" w:hAnsi="Tahoma" w:cs="Tahoma"/>
      <w:sz w:val="16"/>
      <w:szCs w:val="16"/>
    </w:rPr>
  </w:style>
  <w:style w:type="paragraph" w:styleId="Style16" w:customStyle="1">
    <w:name w:val="Заголовок"/>
    <w:basedOn w:val="Normal"/>
    <w:next w:val="Style17"/>
    <w:qFormat/>
    <w:rsid w:val="003c1bee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rsid w:val="003c1bee"/>
    <w:pPr>
      <w:spacing w:before="0" w:after="140"/>
    </w:pPr>
    <w:rPr/>
  </w:style>
  <w:style w:type="paragraph" w:styleId="Style18">
    <w:name w:val="List"/>
    <w:basedOn w:val="Style17"/>
    <w:rsid w:val="003c1bee"/>
    <w:pPr/>
    <w:rPr>
      <w:rFonts w:cs="Lucida Sans"/>
    </w:rPr>
  </w:style>
  <w:style w:type="paragraph" w:styleId="Style19" w:customStyle="1">
    <w:name w:val="Caption"/>
    <w:basedOn w:val="Normal"/>
    <w:qFormat/>
    <w:rsid w:val="003c1be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Indexheading">
    <w:name w:val="index heading"/>
    <w:basedOn w:val="Normal"/>
    <w:qFormat/>
    <w:rsid w:val="003c1bee"/>
    <w:pPr>
      <w:suppressLineNumbers/>
    </w:pPr>
    <w:rPr>
      <w:rFonts w:cs="Lucida Sans"/>
    </w:rPr>
  </w:style>
  <w:style w:type="paragraph" w:styleId="Style21" w:customStyle="1">
    <w:name w:val="Верхний и нижний колонтитулы"/>
    <w:basedOn w:val="Normal"/>
    <w:qFormat/>
    <w:rsid w:val="003c1bee"/>
    <w:pPr/>
    <w:rPr/>
  </w:style>
  <w:style w:type="paragraph" w:styleId="Style22" w:customStyle="1">
    <w:name w:val="Header"/>
    <w:basedOn w:val="Normal"/>
    <w:uiPriority w:val="99"/>
    <w:unhideWhenUsed/>
    <w:rsid w:val="00462da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 w:customStyle="1">
    <w:name w:val="Footer"/>
    <w:basedOn w:val="Normal"/>
    <w:uiPriority w:val="99"/>
    <w:unhideWhenUsed/>
    <w:rsid w:val="00462da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uiPriority w:val="99"/>
    <w:semiHidden/>
    <w:unhideWhenUsed/>
    <w:qFormat/>
    <w:rsid w:val="00c0152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a4c2f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fa3c1f"/>
    <w:pPr/>
    <w:rPr>
      <w:rFonts w:ascii="Times New Roman" w:hAnsi="Times New Roman" w:cs="Times New Roman"/>
      <w:sz w:val="24"/>
      <w:szCs w:val="24"/>
    </w:rPr>
  </w:style>
  <w:style w:type="paragraph" w:styleId="Style24" w:customStyle="1">
    <w:name w:val="Содержимое таблицы"/>
    <w:basedOn w:val="Normal"/>
    <w:qFormat/>
    <w:rsid w:val="003c1bee"/>
    <w:pPr>
      <w:widowControl w:val="false"/>
      <w:suppressLineNumbers/>
    </w:pPr>
    <w:rPr/>
  </w:style>
  <w:style w:type="paragraph" w:styleId="Style25" w:customStyle="1">
    <w:name w:val="Заголовок таблицы"/>
    <w:basedOn w:val="Style24"/>
    <w:qFormat/>
    <w:rsid w:val="003c1bee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59"/>
    <w:rsid w:val="00cc534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footer" Target="footer1.xml"/><Relationship Id="rId15" Type="http://schemas.openxmlformats.org/officeDocument/2006/relationships/numbering" Target="numbering.xm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<Relationship Id="rId1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BB659-7C9C-47BF-ABAE-03C243EA9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Application>LibreOffice/7.2.0.4$Windows_X86_64 LibreOffice_project/9a9c6381e3f7a62afc1329bd359cc48accb6435b</Application>
  <AppVersion>15.0000</AppVersion>
  <Pages>7</Pages>
  <Words>1597</Words>
  <Characters>10883</Characters>
  <CharactersWithSpaces>12322</CharactersWithSpaces>
  <Paragraphs>383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2022-08-09T05:32:00Z</dcterms:created>
  <dc:creator>Liliy</dc:creator>
  <dc:description/>
  <dc:language>ru-RU</dc:language>
  <cp:lastModifiedBy/>
  <cp:lastPrinted>2022-09-13T09:45:00Z</cp:lastPrinted>
  <dcterms:modified xsi:type="dcterms:W3CDTF">2023-10-30T14:08:57Z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